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294CA6">
        <w:rPr>
          <w:b/>
          <w:bCs/>
          <w:color w:val="000000"/>
          <w:sz w:val="36"/>
          <w:szCs w:val="36"/>
        </w:rPr>
        <w:t>0</w:t>
      </w:r>
      <w:r w:rsidR="003149CF">
        <w:rPr>
          <w:b/>
          <w:bCs/>
          <w:color w:val="000000"/>
          <w:sz w:val="36"/>
          <w:szCs w:val="36"/>
        </w:rPr>
        <w:t>9</w:t>
      </w:r>
      <w:r w:rsidR="00294CA6">
        <w:rPr>
          <w:b/>
          <w:bCs/>
          <w:color w:val="000000"/>
          <w:sz w:val="36"/>
          <w:szCs w:val="36"/>
        </w:rPr>
        <w:t>/</w:t>
      </w:r>
      <w:r w:rsidR="00F70CC6">
        <w:rPr>
          <w:b/>
          <w:bCs/>
          <w:color w:val="000000"/>
          <w:sz w:val="36"/>
          <w:szCs w:val="36"/>
        </w:rPr>
        <w:t>30</w:t>
      </w:r>
      <w:r w:rsidR="00294CA6">
        <w:rPr>
          <w:b/>
          <w:bCs/>
          <w:color w:val="000000"/>
          <w:sz w:val="36"/>
          <w:szCs w:val="36"/>
        </w:rPr>
        <w:t xml:space="preserve">/2019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F70CC6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E621CB">
        <w:rPr>
          <w:b/>
          <w:bCs/>
          <w:color w:val="000000"/>
        </w:rPr>
        <w:t>Keystone Hideout</w:t>
      </w:r>
      <w:r w:rsidR="002B34C2" w:rsidRPr="007F6A83">
        <w:rPr>
          <w:b/>
          <w:bCs/>
          <w:color w:val="000000"/>
        </w:rPr>
        <w:t xml:space="preserve"> </w:t>
      </w:r>
      <w:r w:rsidR="00136CF0">
        <w:rPr>
          <w:b/>
          <w:bCs/>
          <w:color w:val="000000"/>
        </w:rPr>
        <w:t xml:space="preserve"> </w:t>
      </w:r>
      <w:r w:rsidR="003149CF">
        <w:rPr>
          <w:b/>
          <w:bCs/>
          <w:color w:val="000000"/>
        </w:rPr>
        <w:t xml:space="preserve"> </w:t>
      </w:r>
      <w:r w:rsidR="00E621CB" w:rsidRPr="007F6A83">
        <w:rPr>
          <w:b/>
          <w:bCs/>
          <w:color w:val="000000"/>
        </w:rPr>
        <w:t>VIN</w:t>
      </w:r>
      <w:r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="00F70CC6" w:rsidRPr="00F70CC6">
        <w:rPr>
          <w:b/>
          <w:bCs/>
          <w:color w:val="000000"/>
        </w:rPr>
        <w:t>4YDT31022D7203882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E621CB">
        <w:rPr>
          <w:b/>
          <w:bCs/>
          <w:color w:val="000000"/>
        </w:rPr>
        <w:t>9,550</w:t>
      </w:r>
      <w:r w:rsidR="000C5A7F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>NADA Retail Value: $</w:t>
      </w:r>
      <w:r w:rsidR="00E621CB">
        <w:rPr>
          <w:b/>
          <w:bCs/>
          <w:color w:val="000000"/>
        </w:rPr>
        <w:t>13,700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E621CB">
        <w:rPr>
          <w:b/>
          <w:bCs/>
          <w:color w:val="000000"/>
          <w:sz w:val="28"/>
          <w:szCs w:val="28"/>
        </w:rPr>
        <w:t>7,500</w:t>
      </w:r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8F6D01" w:rsidRPr="000B2B33" w:rsidRDefault="004509D6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 xml:space="preserve">Appointment Needed to View </w:t>
      </w:r>
      <w:r w:rsidRPr="003149CF">
        <w:rPr>
          <w:b/>
          <w:bCs/>
          <w:color w:val="000000"/>
          <w:sz w:val="28"/>
          <w:szCs w:val="28"/>
          <w:highlight w:val="yellow"/>
        </w:rPr>
        <w:t>Collateral</w:t>
      </w:r>
      <w:r w:rsidR="003149CF">
        <w:rPr>
          <w:b/>
          <w:bCs/>
          <w:color w:val="000000"/>
          <w:sz w:val="28"/>
          <w:szCs w:val="28"/>
          <w:highlight w:val="yellow"/>
        </w:rPr>
        <w:t>,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Unit need</w:t>
      </w:r>
      <w:r w:rsidR="003149CF">
        <w:rPr>
          <w:b/>
          <w:bCs/>
          <w:color w:val="000000"/>
          <w:sz w:val="28"/>
          <w:szCs w:val="28"/>
          <w:highlight w:val="yellow"/>
        </w:rPr>
        <w:t>s</w:t>
      </w:r>
      <w:r w:rsidR="003149CF" w:rsidRPr="003149CF">
        <w:rPr>
          <w:b/>
          <w:bCs/>
          <w:color w:val="000000"/>
          <w:sz w:val="28"/>
          <w:szCs w:val="28"/>
          <w:highlight w:val="yellow"/>
        </w:rPr>
        <w:t xml:space="preserve"> to </w:t>
      </w:r>
      <w:bookmarkStart w:id="0" w:name="_GoBack"/>
      <w:bookmarkEnd w:id="0"/>
      <w:r w:rsidR="003149CF" w:rsidRPr="003149CF">
        <w:rPr>
          <w:b/>
          <w:bCs/>
          <w:color w:val="000000"/>
          <w:sz w:val="28"/>
          <w:szCs w:val="28"/>
          <w:highlight w:val="yellow"/>
        </w:rPr>
        <w:t>be removed after 48hr of purchase or Storage Fee made apply</w:t>
      </w:r>
      <w:r w:rsidR="008F6D01"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285638" w:rsidRDefault="00285638" w:rsidP="00D73008">
      <w:pPr>
        <w:spacing w:after="120"/>
      </w:pPr>
    </w:p>
    <w:sectPr w:rsidR="00285638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8E" w:rsidRDefault="00C7708E" w:rsidP="002929CB">
      <w:r>
        <w:separator/>
      </w:r>
    </w:p>
  </w:endnote>
  <w:endnote w:type="continuationSeparator" w:id="0">
    <w:p w:rsidR="00C7708E" w:rsidRDefault="00C7708E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8E" w:rsidRDefault="00C7708E" w:rsidP="002929CB">
      <w:r>
        <w:separator/>
      </w:r>
    </w:p>
  </w:footnote>
  <w:footnote w:type="continuationSeparator" w:id="0">
    <w:p w:rsidR="00C7708E" w:rsidRDefault="00C7708E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5A7F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1E6029"/>
    <w:rsid w:val="00255154"/>
    <w:rsid w:val="002648D0"/>
    <w:rsid w:val="00285638"/>
    <w:rsid w:val="002929CB"/>
    <w:rsid w:val="00294CA6"/>
    <w:rsid w:val="002B0CDD"/>
    <w:rsid w:val="002B34C2"/>
    <w:rsid w:val="002F4B91"/>
    <w:rsid w:val="00304741"/>
    <w:rsid w:val="003149CF"/>
    <w:rsid w:val="00333898"/>
    <w:rsid w:val="003B43DB"/>
    <w:rsid w:val="003F0BBD"/>
    <w:rsid w:val="003F471D"/>
    <w:rsid w:val="003F5E4C"/>
    <w:rsid w:val="00402BFF"/>
    <w:rsid w:val="004509D6"/>
    <w:rsid w:val="00493628"/>
    <w:rsid w:val="004C55B1"/>
    <w:rsid w:val="004C5C9D"/>
    <w:rsid w:val="00522AFF"/>
    <w:rsid w:val="00523F9E"/>
    <w:rsid w:val="00552E28"/>
    <w:rsid w:val="0058026B"/>
    <w:rsid w:val="00583A6A"/>
    <w:rsid w:val="005C0731"/>
    <w:rsid w:val="005F6FEA"/>
    <w:rsid w:val="006C71CD"/>
    <w:rsid w:val="007013F7"/>
    <w:rsid w:val="007230F0"/>
    <w:rsid w:val="0078488F"/>
    <w:rsid w:val="00795DB2"/>
    <w:rsid w:val="007F6A83"/>
    <w:rsid w:val="00811D2A"/>
    <w:rsid w:val="008A162E"/>
    <w:rsid w:val="008D00AC"/>
    <w:rsid w:val="008D46FD"/>
    <w:rsid w:val="008F6D01"/>
    <w:rsid w:val="0096219A"/>
    <w:rsid w:val="00987CD8"/>
    <w:rsid w:val="00A238B6"/>
    <w:rsid w:val="00A71845"/>
    <w:rsid w:val="00A85A47"/>
    <w:rsid w:val="00A92F08"/>
    <w:rsid w:val="00AC3549"/>
    <w:rsid w:val="00AE5361"/>
    <w:rsid w:val="00B30B10"/>
    <w:rsid w:val="00B5452F"/>
    <w:rsid w:val="00BF7DD1"/>
    <w:rsid w:val="00C42D50"/>
    <w:rsid w:val="00C461EC"/>
    <w:rsid w:val="00C462FE"/>
    <w:rsid w:val="00C645A1"/>
    <w:rsid w:val="00C65610"/>
    <w:rsid w:val="00C76745"/>
    <w:rsid w:val="00C7708E"/>
    <w:rsid w:val="00C807E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621CB"/>
    <w:rsid w:val="00E8488C"/>
    <w:rsid w:val="00E93F1B"/>
    <w:rsid w:val="00ED34C1"/>
    <w:rsid w:val="00F70CC6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8693-FF23-47E9-871F-3DF0385E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Bowling</dc:creator>
  <cp:lastModifiedBy>Mark A. Bowling</cp:lastModifiedBy>
  <cp:revision>2</cp:revision>
  <cp:lastPrinted>2018-05-02T14:20:00Z</cp:lastPrinted>
  <dcterms:created xsi:type="dcterms:W3CDTF">2019-09-20T13:28:00Z</dcterms:created>
  <dcterms:modified xsi:type="dcterms:W3CDTF">2019-09-20T13:28:00Z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